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5978DB" w:rsidP="006E53FA">
      <w:pPr>
        <w:spacing w:after="240" w:line="480" w:lineRule="auto"/>
        <w:jc w:val="center"/>
        <w:rPr>
          <w:b/>
          <w:bCs/>
        </w:rPr>
      </w:pPr>
      <w:r>
        <w:rPr>
          <w:b/>
          <w:bCs/>
        </w:rPr>
        <w:t>Political Economy of Welfare States</w:t>
      </w:r>
    </w:p>
    <w:p w:rsidR="00FA5487" w:rsidRPr="00E943DF" w:rsidRDefault="00FA5487" w:rsidP="006E53FA">
      <w:pPr>
        <w:spacing w:line="480" w:lineRule="auto"/>
        <w:jc w:val="center"/>
      </w:pPr>
      <w:r w:rsidRPr="00E943DF">
        <w:t>Student’s Name</w:t>
      </w:r>
    </w:p>
    <w:p w:rsidR="00FA5487" w:rsidRPr="00E943DF" w:rsidRDefault="00FA5487" w:rsidP="006E53FA">
      <w:pPr>
        <w:spacing w:line="480" w:lineRule="auto"/>
        <w:jc w:val="center"/>
      </w:pPr>
      <w:r w:rsidRPr="00E943DF">
        <w:t>Institutional Affiliation</w:t>
      </w:r>
    </w:p>
    <w:p w:rsidR="00FA5487" w:rsidRPr="00E943DF" w:rsidRDefault="00FA5487" w:rsidP="006E53FA">
      <w:pPr>
        <w:spacing w:line="480" w:lineRule="auto"/>
        <w:jc w:val="center"/>
      </w:pPr>
      <w:r w:rsidRPr="00E943DF">
        <w:t>Course Code and Number</w:t>
      </w:r>
    </w:p>
    <w:p w:rsidR="00FA5487" w:rsidRPr="00E943DF" w:rsidRDefault="00FA5487" w:rsidP="006E53FA">
      <w:pPr>
        <w:spacing w:line="480" w:lineRule="auto"/>
        <w:jc w:val="center"/>
      </w:pPr>
      <w:r w:rsidRPr="00E943DF">
        <w:t>Instructor’s Name</w:t>
      </w:r>
    </w:p>
    <w:p w:rsidR="00FA5487" w:rsidRDefault="00FA5487" w:rsidP="006E53FA">
      <w:pPr>
        <w:spacing w:after="240" w:line="480" w:lineRule="auto"/>
        <w:jc w:val="center"/>
        <w:rPr>
          <w:b/>
          <w:bCs/>
        </w:rPr>
      </w:pPr>
      <w:r w:rsidRPr="00E943DF">
        <w:t>Date</w:t>
      </w: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FA5487" w:rsidP="006E53FA">
      <w:pPr>
        <w:spacing w:after="240" w:line="480" w:lineRule="auto"/>
        <w:rPr>
          <w:b/>
          <w:bCs/>
        </w:rPr>
      </w:pPr>
    </w:p>
    <w:p w:rsidR="00FA5487" w:rsidRDefault="005978DB" w:rsidP="006E53FA">
      <w:pPr>
        <w:spacing w:after="240" w:line="480" w:lineRule="auto"/>
        <w:jc w:val="center"/>
        <w:rPr>
          <w:b/>
          <w:bCs/>
        </w:rPr>
      </w:pPr>
      <w:r>
        <w:rPr>
          <w:b/>
          <w:bCs/>
        </w:rPr>
        <w:t>Political Economy of Welfare States</w:t>
      </w:r>
    </w:p>
    <w:p w:rsidR="004B7BBD" w:rsidRDefault="00322921" w:rsidP="006E53FA">
      <w:pPr>
        <w:spacing w:after="240" w:line="480" w:lineRule="auto"/>
      </w:pPr>
      <w:r>
        <w:rPr>
          <w:b/>
          <w:bCs/>
        </w:rPr>
        <w:t xml:space="preserve">Factors </w:t>
      </w:r>
      <w:r w:rsidR="006E53FA">
        <w:rPr>
          <w:b/>
          <w:bCs/>
        </w:rPr>
        <w:t xml:space="preserve">That Contribute to the Emergence of </w:t>
      </w:r>
      <w:r>
        <w:rPr>
          <w:b/>
          <w:bCs/>
        </w:rPr>
        <w:t xml:space="preserve">Welfare States </w:t>
      </w:r>
      <w:r w:rsidR="006E53FA">
        <w:rPr>
          <w:b/>
          <w:bCs/>
        </w:rPr>
        <w:t>within Different Systems</w:t>
      </w:r>
    </w:p>
    <w:p w:rsidR="004B7BBD" w:rsidRPr="006E53FA" w:rsidRDefault="00322921" w:rsidP="006E53FA">
      <w:pPr>
        <w:spacing w:before="240" w:after="240" w:line="480" w:lineRule="auto"/>
        <w:ind w:firstLine="720"/>
        <w:rPr>
          <w:i/>
        </w:rPr>
      </w:pPr>
      <w:r w:rsidRPr="006E53FA">
        <w:rPr>
          <w:bCs/>
          <w:i/>
        </w:rPr>
        <w:t>Economic Development</w:t>
      </w:r>
    </w:p>
    <w:p w:rsidR="004B7BBD" w:rsidRDefault="00322921" w:rsidP="006E53FA">
      <w:pPr>
        <w:spacing w:before="240" w:after="240" w:line="480" w:lineRule="auto"/>
        <w:ind w:firstLine="720"/>
      </w:pPr>
      <w:r>
        <w:t>To begin with, the emergence of welfare states in middle-income nations has been reinforced by economic growth and the resulting structural economic shifts. Industry and urbanization influence an increase in political and social need demand for a welfare state, which implies that higher industrialization and economic growth levels result in larger welfare states. According to Oktem (2016), a reasonable level of economic development and industrialization is shown to be an essential condition for the creation of the welfare state. Various Scholars have looked at how deindustrialization and the rise in informality and economic insecurity that has accompanied it have affected the evolution of Southern welfare states. Deindustrialization in Latin America has increased job insecurity as many workers joined the growing ranks of self-employed workers in the highly heterogeneous tertiary sector or took up more precarious employment for more extended periods. Accordi</w:t>
      </w:r>
      <w:r w:rsidR="005978DB">
        <w:t>ng to Boger and Leisering (2020),</w:t>
      </w:r>
      <w:r>
        <w:t xml:space="preserve"> the rising labor market uncertainty has increased the likelihood of adopting non-contributory pension programs. </w:t>
      </w:r>
      <w:r w:rsidR="006E53FA">
        <w:t>Therefore,</w:t>
      </w:r>
      <w:r>
        <w:t xml:space="preserve"> economic development is a factor that has reinforced the welfare state.</w:t>
      </w:r>
    </w:p>
    <w:p w:rsidR="004B7BBD" w:rsidRPr="006E53FA" w:rsidRDefault="00322921" w:rsidP="006E53FA">
      <w:pPr>
        <w:spacing w:before="240" w:after="240" w:line="480" w:lineRule="auto"/>
        <w:ind w:firstLine="720"/>
        <w:rPr>
          <w:i/>
        </w:rPr>
      </w:pPr>
      <w:r w:rsidRPr="006E53FA">
        <w:rPr>
          <w:bCs/>
          <w:i/>
        </w:rPr>
        <w:t>Democracy</w:t>
      </w:r>
    </w:p>
    <w:p w:rsidR="004B7BBD" w:rsidRDefault="00322921" w:rsidP="006E53FA">
      <w:pPr>
        <w:spacing w:before="240" w:after="240" w:line="480" w:lineRule="auto"/>
        <w:ind w:firstLine="720"/>
      </w:pPr>
      <w:r>
        <w:t xml:space="preserve">Next, democracy triggers the emergence and drives the expansion of the welfare state. While the Global South's first adoption of social insurance plans mainly happened during periods of authoritarian leadership. Most academics think that democracy can result in more significant growth of the welfare state. The democratic transitions in South Korea and Taiwan led to </w:t>
      </w:r>
      <w:r>
        <w:lastRenderedPageBreak/>
        <w:t xml:space="preserve">establishing universal health insurance in both countries. There is also considerable evidence that democratic </w:t>
      </w:r>
      <w:r w:rsidR="006E53FA">
        <w:t>deepening</w:t>
      </w:r>
      <w:r>
        <w:t xml:space="preserve"> or the expansion of social programming after a successful democratic transition (Schmitt, 2020). According to recent results, democracy may have a favorable impact on the coverage of non-contributory but not contributory social programs. This could be illustrated by the fact that social security spending is generally not especially redistributive in the Global South, and the poor, who are most empowered by democracy, frequently choose non-contributory programs (Holland, 2018). Holland further suggests that democracies are more likely to enact progressive taxes, boosting the welfare state's redistributive nature. Overall, evidence demonstrates that democracy has a consistent progressive impact on the extension of social programs.</w:t>
      </w:r>
    </w:p>
    <w:p w:rsidR="004B7BBD" w:rsidRDefault="00322921" w:rsidP="006E53FA">
      <w:pPr>
        <w:spacing w:before="240" w:after="240" w:line="480" w:lineRule="auto"/>
        <w:ind w:firstLine="720"/>
      </w:pPr>
      <w:r>
        <w:t>A further line of inquiry has looked into how election structures influence the nature of the electoral rivalry. Research reveals that proportional representation may favor more extensive and more wealth redistribution welfare states by assisting left-wing parties in gaining power and rewarding more programmatic social policy, confirming earlier Northern arguments. For example, Thailand's adoption of universal health insurance in the early 2000s can be linked to a 1997 electoral system reform that included components of proportional representation. On the other hand, majoritarian electoral norms appear to have contributed to South Korea's welfare state's "underdevelopment" compared to its rapidly developing neighbors.</w:t>
      </w:r>
    </w:p>
    <w:p w:rsidR="004B7BBD" w:rsidRPr="006E53FA" w:rsidRDefault="00322921" w:rsidP="006E53FA">
      <w:pPr>
        <w:spacing w:before="240" w:after="240" w:line="480" w:lineRule="auto"/>
        <w:ind w:firstLine="720"/>
        <w:rPr>
          <w:i/>
        </w:rPr>
      </w:pPr>
      <w:r w:rsidRPr="006E53FA">
        <w:rPr>
          <w:bCs/>
          <w:i/>
        </w:rPr>
        <w:t>Social mobilization</w:t>
      </w:r>
    </w:p>
    <w:p w:rsidR="004B7BBD" w:rsidRDefault="00322921" w:rsidP="006E53FA">
      <w:pPr>
        <w:spacing w:before="240" w:after="240" w:line="480" w:lineRule="auto"/>
        <w:ind w:firstLine="720"/>
      </w:pPr>
      <w:r>
        <w:t>Furthermore, social movement mobilization has aided the expansion of welfare states in democratic middle-income nations. According to these sou</w:t>
      </w:r>
      <w:r w:rsidR="006E53FA">
        <w:t>rces, in reaction to</w:t>
      </w:r>
      <w:r>
        <w:t xml:space="preserve"> protests, political parties adjust their policy positions and priorities. The increase of the Child Support Grant in South Africa in the 2000s, for example, was the consequence of prolonged mobilization by a women-led social movement coalition. More evidence for a strong correlation between social welfare movements and welfare state expansion may be found in Brazil and Thailand (Harris, 2017).</w:t>
      </w:r>
    </w:p>
    <w:p w:rsidR="004B7BBD" w:rsidRDefault="00322921" w:rsidP="006E53FA">
      <w:pPr>
        <w:spacing w:before="240" w:after="240" w:line="480" w:lineRule="auto"/>
        <w:ind w:firstLine="720"/>
      </w:pPr>
      <w:r>
        <w:t xml:space="preserve">Informal labor movements have played a significant role in social welfare movements. Research implies that the extension of outsider benefits is linked to the organizational strength of casual workers. Significant advancements in domestic worker rights, for example, were achieved </w:t>
      </w:r>
      <w:r w:rsidR="006E53FA">
        <w:t>because</w:t>
      </w:r>
      <w:r>
        <w:t xml:space="preserve"> of widespread mobilization and lobbying from domestic worker organizations in Bolivia and Costa Rica. In Argentina and Brazil, the growth of inclusive assistance programs has been linked to the social mobilization of unemployed and informal workers. Future study would benefit from avoiding the common habit of linking labor movement power with unionization rates, which is common in Northern welfare state ideas.</w:t>
      </w:r>
    </w:p>
    <w:p w:rsidR="004B7BBD" w:rsidRPr="006E53FA" w:rsidRDefault="00322921" w:rsidP="006E53FA">
      <w:pPr>
        <w:spacing w:before="240" w:after="240" w:line="480" w:lineRule="auto"/>
        <w:ind w:firstLine="720"/>
        <w:rPr>
          <w:i/>
        </w:rPr>
      </w:pPr>
      <w:r w:rsidRPr="006E53FA">
        <w:rPr>
          <w:bCs/>
          <w:i/>
        </w:rPr>
        <w:t>Welfare norms and rights</w:t>
      </w:r>
    </w:p>
    <w:p w:rsidR="004B7BBD" w:rsidRDefault="00322921" w:rsidP="006E53FA">
      <w:pPr>
        <w:spacing w:before="240" w:after="240" w:line="480" w:lineRule="auto"/>
        <w:ind w:firstLine="720"/>
      </w:pPr>
      <w:r>
        <w:t>As part of a multi-level "entitlement revolution," research has recognized how new social norms, such as domestic social rights and international social policy norms, may have led to welfare state expansion in the Global South (Leisering, 2019). Even though domestic welfare rights and foreign policy norms have not been studied together in the literature, I believe they share a causal mechanism: The official acknowledgment of a social right causes actual welfare benefits to be increased.</w:t>
      </w:r>
    </w:p>
    <w:p w:rsidR="004B7BBD" w:rsidRDefault="00322921" w:rsidP="006E53FA">
      <w:pPr>
        <w:spacing w:before="240" w:after="240" w:line="480" w:lineRule="auto"/>
        <w:ind w:firstLine="720"/>
      </w:pPr>
      <w:r>
        <w:t>Const</w:t>
      </w:r>
      <w:r w:rsidR="006E53FA">
        <w:t xml:space="preserve">itutional provisions such as a right to health or a </w:t>
      </w:r>
      <w:r>
        <w:t>right to education on the domestic level can support welfare state expansion. T</w:t>
      </w:r>
      <w:r w:rsidR="006E53FA">
        <w:t xml:space="preserve">he consequences of such </w:t>
      </w:r>
      <w:r>
        <w:t>social rights constitutionalism can be immediate, as when courts order social reforms. Indirect effects may also occur, such as empowering the left or other actors to push for such reforms. Social rights constitutionalism is a phenomenon unique to the Global South due to the timing of constitutional reforms.</w:t>
      </w:r>
    </w:p>
    <w:p w:rsidR="004B7BBD" w:rsidRDefault="00322921" w:rsidP="006E53FA">
      <w:pPr>
        <w:spacing w:before="240" w:after="240" w:line="480" w:lineRule="auto"/>
        <w:ind w:firstLine="720"/>
      </w:pPr>
      <w:r>
        <w:t>A constitutional right to health, such as that established in Brazil's 1988 constitution, has been proven to "encourage more and better delivery of health services," according to research (Kavanagh, 2016). Skeptics may claim that social rights are an indicator or effect of welfare state expansion rather than a cause. However, this assumes that social rights translate into benefits and services automatically. The extension of social entitlements at the international level has occurred in the shape of policy guidelines and proposals from international organizations. For example, the International Labor Organization's formulation of a policy standard on "social protection floors" may have assisted the proliferation of non-contributory pensions (Seekings, 2019). While creating international social policy standards alone cannot account for cross-national disparities in welfare state development, it may be crucial in understanding why welfare state expansion exploded in the Global South in the 2000s. International organizations' impact appears to be limited in middle-income countries, especially in low-income countries, which are frequently m</w:t>
      </w:r>
      <w:bookmarkStart w:id="0" w:name="_GoBack"/>
      <w:bookmarkEnd w:id="0"/>
      <w:r>
        <w:t>ore reliant on foreign aid.</w:t>
      </w:r>
    </w:p>
    <w:p w:rsidR="006E53FA" w:rsidRPr="006E53FA" w:rsidRDefault="006E53FA" w:rsidP="006E53FA">
      <w:pPr>
        <w:spacing w:before="240" w:after="240" w:line="480" w:lineRule="auto"/>
        <w:jc w:val="center"/>
        <w:rPr>
          <w:b/>
        </w:rPr>
      </w:pPr>
      <w:r w:rsidRPr="006E53FA">
        <w:rPr>
          <w:b/>
        </w:rPr>
        <w:t>Role of Worldviews such as Judeo-Christian and Marxism in the Emergency of Welfare States</w:t>
      </w:r>
    </w:p>
    <w:p w:rsidR="004B7BBD" w:rsidRDefault="00322921" w:rsidP="006E53FA">
      <w:pPr>
        <w:spacing w:before="240" w:after="240" w:line="480" w:lineRule="auto"/>
        <w:ind w:firstLine="720"/>
      </w:pPr>
      <w:r>
        <w:t xml:space="preserve">In line with Martins's reading, Judeo-Christian suggests that Christians influence welfare states. With the growth of Christianity throughout the Roman Empire and beyond, it began to significantly </w:t>
      </w:r>
      <w:r w:rsidR="006E53FA">
        <w:t>influence</w:t>
      </w:r>
      <w:r>
        <w:t xml:space="preserve"> political, economic, and social policies. By the </w:t>
      </w:r>
      <w:r w:rsidR="006E53FA">
        <w:t>time,</w:t>
      </w:r>
      <w:r>
        <w:t xml:space="preserve"> Constantine made Christianity the "state" religion, biblical principles of justice and charity had gained considerable political clout. </w:t>
      </w:r>
      <w:r w:rsidR="006E53FA">
        <w:t>The middle Ages had inextricably link the church and state</w:t>
      </w:r>
      <w:r>
        <w:t xml:space="preserve"> linked, with the church assuming the lead in the care of the poor and various other political and economic issues. Over time, the church's early focus in demonstrating God's concern for the poor was supplanted by a desire to maintain influence in the political arena. The church's power waned after the </w:t>
      </w:r>
      <w:r w:rsidR="00FA5487">
        <w:t>middle</w:t>
      </w:r>
      <w:r>
        <w:t xml:space="preserve"> Ages. The Renaissance, Industrial Revolution, Enlightenment, and Modern Era shifted political and economic power away from the church and toward more secular groups (Gaston, 2019). The locus of social welfare control shifted as well. A prosperous nation or individual has little tolerance for those who are unable or unwilling to succeed.</w:t>
      </w:r>
    </w:p>
    <w:p w:rsidR="004B7BBD" w:rsidRDefault="00322921" w:rsidP="006E53FA">
      <w:pPr>
        <w:spacing w:before="240" w:after="240" w:line="480" w:lineRule="auto"/>
        <w:ind w:firstLine="720"/>
      </w:pPr>
      <w:r>
        <w:t>Though Judeo-Christian doctrine remained a powerful undercurrent in most aspects of American life at the period, the rise of liberalism, materialism, and capitalism had a significant impact on public welfare policies. The American ethos of rugged individualism and hard effort implied that the impoverished just required the influence and wisdom of the successful. Material assistance was seen as more of a hindrance than a help. Many people believed that material aid and ill-informed charity encouraged idleness and poverty.</w:t>
      </w:r>
    </w:p>
    <w:p w:rsidR="004B7BBD" w:rsidRDefault="00322921" w:rsidP="006E53FA">
      <w:pPr>
        <w:spacing w:before="240" w:after="240" w:line="480" w:lineRule="auto"/>
        <w:ind w:firstLine="720"/>
      </w:pPr>
      <w:r>
        <w:t>In practice, Marxism was a very selective formulation of essential aspects in his mature explanation of capitalist history. This 'official' reading of Marx was challenged within a decade and has been questioned ever since. In this context, we must acknowledge that Marx's intellectual heritage was equivocal, especially when it came to the welfare state, and that the unity of Marxist thinking was reasonably brief. Dissenters and revisionists have contributed just as much to Marxism's most exemplary ideas on the welfare state as in other areas as the orthodox tradition has. Second, because Marx did not live to see anything more than the earliest stirrings of welfare state activity, it is unsurprising that he had little to say about states and welfare.</w:t>
      </w:r>
    </w:p>
    <w:p w:rsidR="004B7BBD" w:rsidRDefault="00322921" w:rsidP="006E53FA">
      <w:pPr>
        <w:spacing w:before="240" w:after="240" w:line="480" w:lineRule="auto"/>
        <w:ind w:firstLine="720"/>
      </w:pPr>
      <w:r>
        <w:t>Nonetheless, the creation of welfare states within capitalism is surprising in traditional Marxism at first glance (Voigt, 2020). It is probably conceivable to reconstruct a narrative that 'explains' the genesis of state welfare assistance under capitalism, consistent with Marx's statements regarding the state. However, represent this as the fundamental trend in Marx's thought about the capitalist state, which he regarded as more straightforwardly repressive machinery.</w:t>
      </w:r>
    </w:p>
    <w:p w:rsidR="004B7BBD" w:rsidRDefault="00322921" w:rsidP="006E53FA">
      <w:pPr>
        <w:spacing w:before="240" w:after="240" w:line="480" w:lineRule="auto"/>
        <w:ind w:firstLine="720"/>
      </w:pPr>
      <w:r>
        <w:t xml:space="preserve">Indeed, Marx's central critique of capitalism argues that it is inherently incompatible with forms of welfare guaranteed by the state. This critique is based on Marx's derived' from Adam Smith and David Ricardo's classical political economy. First, capitalism is an economic system based on the production and exchange of privately held goods in a free market; second, the value of any commodity reflects the quantity of human labor force expended in its creation. Marx builds an account of capitalism as an inevitably exploitative and class-based system based on these premises, in which unpaid labor is extracted from sellers of labor power by capital owners through a 'free and equal exchange' in the marketplace. </w:t>
      </w:r>
      <w:r w:rsidR="006E53FA">
        <w:t>Such market trades do not optimize an individual, in particular, the social well-being</w:t>
      </w:r>
      <w:r>
        <w:t>.</w:t>
      </w:r>
    </w:p>
    <w:p w:rsidR="00FA5487" w:rsidRDefault="00FA5487" w:rsidP="006E53FA">
      <w:pPr>
        <w:spacing w:before="240" w:after="240" w:line="480" w:lineRule="auto"/>
        <w:ind w:firstLine="720"/>
      </w:pPr>
    </w:p>
    <w:p w:rsidR="00FA5487" w:rsidRDefault="00FA5487" w:rsidP="006E53FA">
      <w:pPr>
        <w:spacing w:before="240" w:after="240" w:line="480" w:lineRule="auto"/>
        <w:ind w:firstLine="720"/>
      </w:pPr>
    </w:p>
    <w:p w:rsidR="00FA5487" w:rsidRDefault="00FA5487" w:rsidP="006E53FA">
      <w:pPr>
        <w:spacing w:before="240" w:after="240" w:line="480" w:lineRule="auto"/>
        <w:ind w:firstLine="720"/>
      </w:pPr>
    </w:p>
    <w:p w:rsidR="00FA5487" w:rsidRDefault="00FA5487" w:rsidP="006E53FA">
      <w:pPr>
        <w:spacing w:before="240" w:after="240" w:line="480" w:lineRule="auto"/>
        <w:ind w:firstLine="720"/>
      </w:pPr>
    </w:p>
    <w:p w:rsidR="00FA5487" w:rsidRDefault="00FA5487" w:rsidP="006E53FA">
      <w:pPr>
        <w:spacing w:before="240" w:after="240" w:line="480" w:lineRule="auto"/>
        <w:ind w:firstLine="720"/>
      </w:pPr>
    </w:p>
    <w:p w:rsidR="00FA5487" w:rsidRDefault="00FA5487" w:rsidP="006E53FA">
      <w:pPr>
        <w:spacing w:before="240" w:after="240" w:line="480" w:lineRule="auto"/>
        <w:jc w:val="center"/>
      </w:pPr>
      <w:r>
        <w:t>Reference</w:t>
      </w:r>
      <w:r w:rsidR="006E53FA">
        <w:t>s</w:t>
      </w:r>
    </w:p>
    <w:p w:rsidR="00FA5487" w:rsidRDefault="00FA5487" w:rsidP="006E53FA">
      <w:pPr>
        <w:spacing w:line="480" w:lineRule="auto"/>
        <w:ind w:left="720" w:hanging="720"/>
        <w:rPr>
          <w:rStyle w:val="author"/>
        </w:rPr>
      </w:pPr>
      <w:r w:rsidRPr="000B270E">
        <w:t xml:space="preserve">Gaston, K. H. (2019). Imagining Judeo-Christian America. In </w:t>
      </w:r>
      <w:r w:rsidRPr="000B270E">
        <w:rPr>
          <w:i/>
          <w:iCs/>
        </w:rPr>
        <w:t>Imagining Judeo-Christian America</w:t>
      </w:r>
      <w:r w:rsidRPr="000B270E">
        <w:t>. University of Chicago Press.</w:t>
      </w:r>
    </w:p>
    <w:p w:rsidR="00FA5487" w:rsidRDefault="00FA5487" w:rsidP="006E53FA">
      <w:pPr>
        <w:spacing w:line="480" w:lineRule="auto"/>
        <w:ind w:left="720" w:hanging="720"/>
      </w:pPr>
      <w:r>
        <w:rPr>
          <w:rStyle w:val="author"/>
        </w:rPr>
        <w:t>Holland, A. C.</w:t>
      </w:r>
      <w:r>
        <w:t xml:space="preserve">, &amp; </w:t>
      </w:r>
      <w:r>
        <w:rPr>
          <w:rStyle w:val="author"/>
        </w:rPr>
        <w:t>Schneider, B. R.</w:t>
      </w:r>
      <w:r>
        <w:t xml:space="preserve"> (</w:t>
      </w:r>
      <w:r>
        <w:rPr>
          <w:rStyle w:val="pubyear"/>
        </w:rPr>
        <w:t>2017</w:t>
      </w:r>
      <w:r>
        <w:t xml:space="preserve">). </w:t>
      </w:r>
      <w:r>
        <w:rPr>
          <w:rStyle w:val="articletitle"/>
        </w:rPr>
        <w:t>Easy and hard redistribution: The political economy of welfare states in Latin America</w:t>
      </w:r>
      <w:r>
        <w:t xml:space="preserve">. </w:t>
      </w:r>
      <w:r>
        <w:rPr>
          <w:i/>
          <w:iCs/>
        </w:rPr>
        <w:t>Perspectives on Politics</w:t>
      </w:r>
      <w:r>
        <w:t xml:space="preserve">, </w:t>
      </w:r>
      <w:r>
        <w:rPr>
          <w:rStyle w:val="vol"/>
        </w:rPr>
        <w:t>15</w:t>
      </w:r>
      <w:r>
        <w:t xml:space="preserve">, </w:t>
      </w:r>
      <w:r>
        <w:rPr>
          <w:rStyle w:val="pagefirst"/>
        </w:rPr>
        <w:t>988</w:t>
      </w:r>
      <w:r>
        <w:t xml:space="preserve">– </w:t>
      </w:r>
      <w:r>
        <w:rPr>
          <w:rStyle w:val="pagelast"/>
        </w:rPr>
        <w:t>1006</w:t>
      </w:r>
      <w:r>
        <w:t xml:space="preserve">. </w:t>
      </w:r>
      <w:r w:rsidRPr="00FA5487">
        <w:t>https://doi.org/10.1017/S1537592717002122</w:t>
      </w:r>
    </w:p>
    <w:p w:rsidR="00FA5487" w:rsidRDefault="00FA5487" w:rsidP="006E53FA">
      <w:pPr>
        <w:spacing w:line="480" w:lineRule="auto"/>
        <w:ind w:left="720" w:hanging="720"/>
      </w:pPr>
      <w:r>
        <w:rPr>
          <w:rStyle w:val="author"/>
        </w:rPr>
        <w:t>Harris, J.</w:t>
      </w:r>
      <w:r>
        <w:t xml:space="preserve"> (</w:t>
      </w:r>
      <w:r>
        <w:rPr>
          <w:rStyle w:val="pubyear"/>
        </w:rPr>
        <w:t>2017</w:t>
      </w:r>
      <w:r>
        <w:t xml:space="preserve">). </w:t>
      </w:r>
      <w:r>
        <w:rPr>
          <w:rStyle w:val="booktitle"/>
        </w:rPr>
        <w:t>Achieving access: Professional movements and the politics of health universalism</w:t>
      </w:r>
      <w:r>
        <w:t xml:space="preserve">. </w:t>
      </w:r>
      <w:r>
        <w:rPr>
          <w:rStyle w:val="publisherlocation"/>
        </w:rPr>
        <w:t>Ithaca, NY</w:t>
      </w:r>
      <w:r>
        <w:t>: Cornell University Press.</w:t>
      </w:r>
    </w:p>
    <w:p w:rsidR="00FA5487" w:rsidRDefault="00FA5487" w:rsidP="006E53FA">
      <w:pPr>
        <w:spacing w:line="480" w:lineRule="auto"/>
        <w:ind w:left="720" w:hanging="720"/>
        <w:rPr>
          <w:rStyle w:val="author"/>
        </w:rPr>
      </w:pPr>
      <w:r>
        <w:rPr>
          <w:rStyle w:val="author"/>
        </w:rPr>
        <w:t>Kavanagh, M. M.</w:t>
      </w:r>
      <w:r>
        <w:t xml:space="preserve"> (</w:t>
      </w:r>
      <w:r>
        <w:rPr>
          <w:rStyle w:val="pubyear"/>
        </w:rPr>
        <w:t>2016</w:t>
      </w:r>
      <w:r>
        <w:t xml:space="preserve">). </w:t>
      </w:r>
      <w:r>
        <w:rPr>
          <w:rStyle w:val="articletitle"/>
        </w:rPr>
        <w:t>The right to health: Institutional effects of constitutional provisions on health outcomes</w:t>
      </w:r>
      <w:r>
        <w:t xml:space="preserve">. </w:t>
      </w:r>
      <w:r>
        <w:rPr>
          <w:i/>
          <w:iCs/>
        </w:rPr>
        <w:t>Studies in Comparative International Development</w:t>
      </w:r>
      <w:r>
        <w:t xml:space="preserve">, </w:t>
      </w:r>
      <w:r>
        <w:rPr>
          <w:rStyle w:val="vol"/>
        </w:rPr>
        <w:t>51</w:t>
      </w:r>
      <w:r>
        <w:t xml:space="preserve">, </w:t>
      </w:r>
      <w:r>
        <w:rPr>
          <w:rStyle w:val="pagefirst"/>
        </w:rPr>
        <w:t>328</w:t>
      </w:r>
      <w:r>
        <w:t xml:space="preserve">– </w:t>
      </w:r>
      <w:r>
        <w:rPr>
          <w:rStyle w:val="pagelast"/>
        </w:rPr>
        <w:t>364</w:t>
      </w:r>
      <w:r>
        <w:t xml:space="preserve">. </w:t>
      </w:r>
      <w:r w:rsidRPr="00FA5487">
        <w:t>https://doi.org/10.1007/s12116-015-9189-z</w:t>
      </w:r>
    </w:p>
    <w:p w:rsidR="00FA5487" w:rsidRDefault="00FA5487" w:rsidP="006E53FA">
      <w:pPr>
        <w:spacing w:line="480" w:lineRule="auto"/>
        <w:ind w:left="720" w:hanging="720"/>
      </w:pPr>
      <w:r>
        <w:rPr>
          <w:rStyle w:val="author"/>
        </w:rPr>
        <w:t>Leisering, L.</w:t>
      </w:r>
      <w:r>
        <w:t xml:space="preserve"> (</w:t>
      </w:r>
      <w:r>
        <w:rPr>
          <w:rStyle w:val="pubyear"/>
        </w:rPr>
        <w:t>2019</w:t>
      </w:r>
      <w:r>
        <w:t xml:space="preserve">). </w:t>
      </w:r>
      <w:r>
        <w:rPr>
          <w:rStyle w:val="booktitle"/>
        </w:rPr>
        <w:t>The global rise of social cash transfers</w:t>
      </w:r>
      <w:r>
        <w:t xml:space="preserve">. </w:t>
      </w:r>
      <w:r>
        <w:rPr>
          <w:rStyle w:val="publisherlocation"/>
        </w:rPr>
        <w:t>Oxford, England</w:t>
      </w:r>
      <w:r>
        <w:t>: Oxford University Press.</w:t>
      </w:r>
    </w:p>
    <w:p w:rsidR="00FA5487" w:rsidRDefault="006E53FA" w:rsidP="006E53FA">
      <w:pPr>
        <w:spacing w:line="480" w:lineRule="auto"/>
        <w:ind w:left="720" w:hanging="720"/>
      </w:pPr>
      <w:r>
        <w:rPr>
          <w:rStyle w:val="author"/>
        </w:rPr>
        <w:t>Oktem</w:t>
      </w:r>
      <w:r w:rsidR="00FA5487">
        <w:rPr>
          <w:rStyle w:val="author"/>
        </w:rPr>
        <w:t>, K</w:t>
      </w:r>
      <w:r w:rsidR="00FA5487">
        <w:t>. (</w:t>
      </w:r>
      <w:r w:rsidR="00FA5487">
        <w:rPr>
          <w:rStyle w:val="pubyear"/>
        </w:rPr>
        <w:t>2016</w:t>
      </w:r>
      <w:r w:rsidR="00FA5487">
        <w:t xml:space="preserve">). </w:t>
      </w:r>
      <w:r w:rsidR="00FA5487">
        <w:rPr>
          <w:rStyle w:val="othertitle"/>
          <w:i/>
          <w:iCs/>
        </w:rPr>
        <w:t>Pathways to universal social security in lower income countries: Explaining the emergence of welfare states in the developing world</w:t>
      </w:r>
      <w:r w:rsidR="00FA5487">
        <w:rPr>
          <w:rStyle w:val="othertitle"/>
        </w:rPr>
        <w:t xml:space="preserve"> (Unpublished PhD dissertation). Bilkent University, Ankara</w:t>
      </w:r>
      <w:r w:rsidR="00FA5487">
        <w:t>.</w:t>
      </w:r>
    </w:p>
    <w:p w:rsidR="00FA5487" w:rsidRDefault="00FA5487" w:rsidP="006E53FA">
      <w:pPr>
        <w:spacing w:line="480" w:lineRule="auto"/>
        <w:ind w:left="720" w:hanging="720"/>
      </w:pPr>
      <w:r>
        <w:rPr>
          <w:rStyle w:val="author"/>
        </w:rPr>
        <w:t>Schmitt, C.</w:t>
      </w:r>
      <w:r>
        <w:t xml:space="preserve"> (</w:t>
      </w:r>
      <w:r>
        <w:rPr>
          <w:rStyle w:val="pubyear"/>
        </w:rPr>
        <w:t>2020</w:t>
      </w:r>
      <w:r>
        <w:t xml:space="preserve">). </w:t>
      </w:r>
      <w:r>
        <w:rPr>
          <w:rStyle w:val="articletitle"/>
        </w:rPr>
        <w:t>The coverage of social protection in the Global South</w:t>
      </w:r>
      <w:r>
        <w:t xml:space="preserve">. </w:t>
      </w:r>
      <w:r>
        <w:rPr>
          <w:i/>
          <w:iCs/>
        </w:rPr>
        <w:t>International Journal of Social Welfare</w:t>
      </w:r>
      <w:r>
        <w:t xml:space="preserve">, </w:t>
      </w:r>
      <w:r>
        <w:rPr>
          <w:rStyle w:val="vol"/>
        </w:rPr>
        <w:t>29</w:t>
      </w:r>
      <w:r>
        <w:t xml:space="preserve">, </w:t>
      </w:r>
      <w:r>
        <w:rPr>
          <w:rStyle w:val="pagefirst"/>
        </w:rPr>
        <w:t>6</w:t>
      </w:r>
      <w:r>
        <w:t xml:space="preserve">– </w:t>
      </w:r>
      <w:r>
        <w:rPr>
          <w:rStyle w:val="pagelast"/>
        </w:rPr>
        <w:t>19</w:t>
      </w:r>
      <w:r>
        <w:t xml:space="preserve">. </w:t>
      </w:r>
      <w:r w:rsidRPr="00FA5487">
        <w:t>https://doi.org/10.1111/ijsw.12374</w:t>
      </w:r>
    </w:p>
    <w:p w:rsidR="006E53FA" w:rsidRDefault="00FA5487" w:rsidP="006E53FA">
      <w:pPr>
        <w:spacing w:line="480" w:lineRule="auto"/>
        <w:ind w:left="720" w:hanging="720"/>
      </w:pPr>
      <w:r>
        <w:rPr>
          <w:rStyle w:val="author"/>
        </w:rPr>
        <w:t>Seekings, J.</w:t>
      </w:r>
      <w:r>
        <w:t xml:space="preserve"> (</w:t>
      </w:r>
      <w:r>
        <w:rPr>
          <w:rStyle w:val="pubyear"/>
        </w:rPr>
        <w:t>2019</w:t>
      </w:r>
      <w:r>
        <w:t xml:space="preserve">). </w:t>
      </w:r>
      <w:r>
        <w:rPr>
          <w:rStyle w:val="articletitle"/>
        </w:rPr>
        <w:t>The limits to ‘global’ social policy: The ILO, the social protection floor and the politics of welfare in East and Southern Africa</w:t>
      </w:r>
      <w:r>
        <w:t xml:space="preserve">. </w:t>
      </w:r>
      <w:r>
        <w:rPr>
          <w:i/>
          <w:iCs/>
        </w:rPr>
        <w:t>Global Social Policy</w:t>
      </w:r>
      <w:r>
        <w:t xml:space="preserve">, </w:t>
      </w:r>
      <w:r>
        <w:rPr>
          <w:rStyle w:val="vol"/>
        </w:rPr>
        <w:t>19</w:t>
      </w:r>
      <w:r>
        <w:t xml:space="preserve">, </w:t>
      </w:r>
      <w:r>
        <w:rPr>
          <w:rStyle w:val="pagefirst"/>
        </w:rPr>
        <w:t>139</w:t>
      </w:r>
      <w:r>
        <w:t xml:space="preserve">– </w:t>
      </w:r>
      <w:r>
        <w:rPr>
          <w:rStyle w:val="pagelast"/>
        </w:rPr>
        <w:t>158</w:t>
      </w:r>
      <w:r>
        <w:t xml:space="preserve">. </w:t>
      </w:r>
      <w:hyperlink r:id="rId6" w:history="1">
        <w:r w:rsidR="006E53FA" w:rsidRPr="004D3FEE">
          <w:rPr>
            <w:rStyle w:val="Hyperlink"/>
          </w:rPr>
          <w:t>https://doi.org/10.1177/1468018119846418</w:t>
        </w:r>
      </w:hyperlink>
    </w:p>
    <w:p w:rsidR="00FA5487" w:rsidRPr="0061291E" w:rsidRDefault="00FA5487" w:rsidP="006E53FA">
      <w:pPr>
        <w:spacing w:line="480" w:lineRule="auto"/>
        <w:ind w:left="720" w:hanging="720"/>
      </w:pPr>
      <w:r w:rsidRPr="0061291E">
        <w:t xml:space="preserve">Voigt, S. (2020). From Marxism to “Agenda 2010”: German Social Democratic Notions of the State from Its Founding until Today. In </w:t>
      </w:r>
      <w:r w:rsidRPr="0061291E">
        <w:rPr>
          <w:i/>
          <w:iCs/>
        </w:rPr>
        <w:t>European Socialists and the State in the Twentieth and Twenty-First Centuries</w:t>
      </w:r>
      <w:r w:rsidRPr="0061291E">
        <w:t xml:space="preserve"> (pp. 283-302). Palgrave Macmillan, Cham.</w:t>
      </w:r>
    </w:p>
    <w:p w:rsidR="00FA5487" w:rsidRDefault="00FA5487" w:rsidP="006E53FA">
      <w:pPr>
        <w:spacing w:line="480" w:lineRule="auto"/>
        <w:ind w:left="720" w:hanging="720"/>
      </w:pPr>
    </w:p>
    <w:p w:rsidR="00FA5487" w:rsidRDefault="00FA5487" w:rsidP="006E53FA">
      <w:pPr>
        <w:spacing w:line="480" w:lineRule="auto"/>
        <w:ind w:left="720" w:hanging="720"/>
      </w:pPr>
    </w:p>
    <w:p w:rsidR="00FA5487" w:rsidRDefault="00FA5487" w:rsidP="006E53FA">
      <w:pPr>
        <w:spacing w:before="240" w:after="240" w:line="480" w:lineRule="auto"/>
        <w:ind w:left="720" w:hanging="720"/>
      </w:pPr>
    </w:p>
    <w:sectPr w:rsidR="00FA5487">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921" w:rsidRDefault="00322921" w:rsidP="00FA5487">
      <w:r>
        <w:separator/>
      </w:r>
    </w:p>
  </w:endnote>
  <w:endnote w:type="continuationSeparator" w:id="0">
    <w:p w:rsidR="00322921" w:rsidRDefault="00322921" w:rsidP="00FA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921" w:rsidRDefault="00322921" w:rsidP="00FA5487">
      <w:r>
        <w:separator/>
      </w:r>
    </w:p>
  </w:footnote>
  <w:footnote w:type="continuationSeparator" w:id="0">
    <w:p w:rsidR="00322921" w:rsidRDefault="00322921" w:rsidP="00FA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587236"/>
      <w:docPartObj>
        <w:docPartGallery w:val="Page Numbers (Top of Page)"/>
        <w:docPartUnique/>
      </w:docPartObj>
    </w:sdtPr>
    <w:sdtEndPr>
      <w:rPr>
        <w:noProof/>
      </w:rPr>
    </w:sdtEndPr>
    <w:sdtContent>
      <w:p w:rsidR="00FA5487" w:rsidRDefault="00FA5487">
        <w:pPr>
          <w:pStyle w:val="Header"/>
          <w:jc w:val="right"/>
        </w:pPr>
        <w:r>
          <w:fldChar w:fldCharType="begin"/>
        </w:r>
        <w:r>
          <w:instrText xml:space="preserve"> PAGE   \* MERGEFORMAT </w:instrText>
        </w:r>
        <w:r>
          <w:fldChar w:fldCharType="separate"/>
        </w:r>
        <w:r w:rsidR="006E53FA">
          <w:rPr>
            <w:noProof/>
          </w:rPr>
          <w:t>6</w:t>
        </w:r>
        <w:r>
          <w:rPr>
            <w:noProof/>
          </w:rPr>
          <w:fldChar w:fldCharType="end"/>
        </w:r>
      </w:p>
    </w:sdtContent>
  </w:sdt>
  <w:p w:rsidR="00FA5487" w:rsidRDefault="00FA5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DE1MrEwMzEzMTBT0lEKTi0uzszPAykwrAUAvXYMoCwAAAA="/>
  </w:docVars>
  <w:rsids>
    <w:rsidRoot w:val="004B7BBD"/>
    <w:rsid w:val="00322921"/>
    <w:rsid w:val="004B7BBD"/>
    <w:rsid w:val="005978DB"/>
    <w:rsid w:val="006E53FA"/>
    <w:rsid w:val="00FA5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CFDB"/>
  <w15:docId w15:val="{95C22410-A57B-4A42-898C-90016868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author">
    <w:name w:val="author"/>
    <w:basedOn w:val="DefaultParagraphFont"/>
    <w:rsid w:val="00FA5487"/>
  </w:style>
  <w:style w:type="character" w:customStyle="1" w:styleId="pubyear">
    <w:name w:val="pubyear"/>
    <w:basedOn w:val="DefaultParagraphFont"/>
    <w:rsid w:val="00FA5487"/>
  </w:style>
  <w:style w:type="character" w:customStyle="1" w:styleId="booktitle">
    <w:name w:val="booktitle"/>
    <w:basedOn w:val="DefaultParagraphFont"/>
    <w:rsid w:val="00FA5487"/>
  </w:style>
  <w:style w:type="character" w:customStyle="1" w:styleId="publisherlocation">
    <w:name w:val="publisherlocation"/>
    <w:basedOn w:val="DefaultParagraphFont"/>
    <w:rsid w:val="00FA5487"/>
  </w:style>
  <w:style w:type="character" w:customStyle="1" w:styleId="othertitle">
    <w:name w:val="othertitle"/>
    <w:basedOn w:val="DefaultParagraphFont"/>
    <w:rsid w:val="00FA5487"/>
  </w:style>
  <w:style w:type="character" w:customStyle="1" w:styleId="articletitle">
    <w:name w:val="articletitle"/>
    <w:basedOn w:val="DefaultParagraphFont"/>
    <w:rsid w:val="00FA5487"/>
  </w:style>
  <w:style w:type="character" w:customStyle="1" w:styleId="vol">
    <w:name w:val="vol"/>
    <w:basedOn w:val="DefaultParagraphFont"/>
    <w:rsid w:val="00FA5487"/>
  </w:style>
  <w:style w:type="character" w:customStyle="1" w:styleId="pagefirst">
    <w:name w:val="pagefirst"/>
    <w:basedOn w:val="DefaultParagraphFont"/>
    <w:rsid w:val="00FA5487"/>
  </w:style>
  <w:style w:type="character" w:customStyle="1" w:styleId="pagelast">
    <w:name w:val="pagelast"/>
    <w:basedOn w:val="DefaultParagraphFont"/>
    <w:rsid w:val="00FA5487"/>
  </w:style>
  <w:style w:type="character" w:styleId="Hyperlink">
    <w:name w:val="Hyperlink"/>
    <w:basedOn w:val="DefaultParagraphFont"/>
    <w:uiPriority w:val="99"/>
    <w:unhideWhenUsed/>
    <w:rsid w:val="00FA5487"/>
    <w:rPr>
      <w:color w:val="0000FF" w:themeColor="hyperlink"/>
      <w:u w:val="single"/>
    </w:rPr>
  </w:style>
  <w:style w:type="paragraph" w:styleId="Header">
    <w:name w:val="header"/>
    <w:basedOn w:val="Normal"/>
    <w:link w:val="HeaderChar"/>
    <w:uiPriority w:val="99"/>
    <w:unhideWhenUsed/>
    <w:rsid w:val="00FA5487"/>
    <w:pPr>
      <w:tabs>
        <w:tab w:val="center" w:pos="4680"/>
        <w:tab w:val="right" w:pos="9360"/>
      </w:tabs>
    </w:pPr>
  </w:style>
  <w:style w:type="character" w:customStyle="1" w:styleId="HeaderChar">
    <w:name w:val="Header Char"/>
    <w:basedOn w:val="DefaultParagraphFont"/>
    <w:link w:val="Header"/>
    <w:uiPriority w:val="99"/>
    <w:rsid w:val="00FA5487"/>
    <w:rPr>
      <w:sz w:val="24"/>
      <w:szCs w:val="24"/>
    </w:rPr>
  </w:style>
  <w:style w:type="paragraph" w:styleId="Footer">
    <w:name w:val="footer"/>
    <w:basedOn w:val="Normal"/>
    <w:link w:val="FooterChar"/>
    <w:uiPriority w:val="99"/>
    <w:unhideWhenUsed/>
    <w:rsid w:val="00FA5487"/>
    <w:pPr>
      <w:tabs>
        <w:tab w:val="center" w:pos="4680"/>
        <w:tab w:val="right" w:pos="9360"/>
      </w:tabs>
    </w:pPr>
  </w:style>
  <w:style w:type="character" w:customStyle="1" w:styleId="FooterChar">
    <w:name w:val="Footer Char"/>
    <w:basedOn w:val="DefaultParagraphFont"/>
    <w:link w:val="Footer"/>
    <w:uiPriority w:val="99"/>
    <w:rsid w:val="00FA54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146801811984641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1848</Words>
  <Characters>10539</Characters>
  <Application>Microsoft Office Word</Application>
  <DocSecurity>0</DocSecurity>
  <Lines>87</Lines>
  <Paragraphs>24</Paragraphs>
  <ScaleCrop>false</ScaleCrop>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2021-09-19T08:45:00Z</dcterms:created>
  <dcterms:modified xsi:type="dcterms:W3CDTF">2021-09-19T08:52:00Z</dcterms:modified>
</cp:coreProperties>
</file>